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C6A18" w14:textId="54AC206E" w:rsidR="00B9499F" w:rsidRPr="00C638CF" w:rsidRDefault="00B9499F" w:rsidP="00B9499F">
      <w:pPr>
        <w:spacing w:before="100" w:beforeAutospacing="1" w:after="100" w:afterAutospacing="1" w:line="240" w:lineRule="auto"/>
        <w:outlineLvl w:val="0"/>
        <w:rPr>
          <w:rFonts w:ascii="Times New Roman" w:eastAsia="Times New Roman" w:hAnsi="Times New Roman" w:cs="Times New Roman"/>
          <w:b/>
          <w:bCs/>
          <w:kern w:val="36"/>
          <w:sz w:val="28"/>
          <w:szCs w:val="28"/>
          <w:lang w:eastAsia="en-GB"/>
          <w14:ligatures w14:val="none"/>
        </w:rPr>
      </w:pPr>
      <w:r w:rsidRPr="00C638CF">
        <w:rPr>
          <w:rFonts w:ascii="Times New Roman" w:eastAsia="Times New Roman" w:hAnsi="Times New Roman" w:cs="Times New Roman"/>
          <w:b/>
          <w:bCs/>
          <w:kern w:val="36"/>
          <w:sz w:val="28"/>
          <w:szCs w:val="28"/>
          <w:lang w:eastAsia="en-GB"/>
          <w14:ligatures w14:val="none"/>
        </w:rPr>
        <w:t>B of E Stablecoin Consultation: Backing Assets, DLT and International Regulations</w:t>
      </w:r>
      <w:r w:rsidR="00C638CF">
        <w:rPr>
          <w:rFonts w:ascii="Times New Roman" w:eastAsia="Times New Roman" w:hAnsi="Times New Roman" w:cs="Times New Roman"/>
          <w:b/>
          <w:bCs/>
          <w:kern w:val="36"/>
          <w:sz w:val="28"/>
          <w:szCs w:val="28"/>
          <w:lang w:eastAsia="en-GB"/>
          <w14:ligatures w14:val="none"/>
        </w:rPr>
        <w:t xml:space="preserve"> – your turn</w:t>
      </w:r>
    </w:p>
    <w:p w14:paraId="6AC28344" w14:textId="77777777" w:rsidR="00B9499F" w:rsidRPr="00B9499F" w:rsidRDefault="00B9499F" w:rsidP="00B9499F">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499F">
        <w:rPr>
          <w:rFonts w:ascii="Times New Roman" w:eastAsia="Times New Roman" w:hAnsi="Times New Roman" w:cs="Times New Roman"/>
          <w:kern w:val="0"/>
          <w:lang w:eastAsia="en-GB"/>
          <w14:ligatures w14:val="none"/>
        </w:rPr>
        <w:t>Bank of England (Bank) Stablecoin November 10 Consultancy Paper includes industry views on the 2023 and areas of unease. FCA, 26 November, presentation Crypto and Stablecoin assets notes 90% UK heard of Crypto and 7 million had transacted £13 billion in them. The 2023 proposals revealed fundamental friction between regulatory caution and commercial viability. Stablecoin Issuers need revenue models that work, and overly restrictive backing asset requirements would make UK stablecoins uncompetitive globally.</w:t>
      </w:r>
    </w:p>
    <w:p w14:paraId="4332AE35" w14:textId="77777777" w:rsidR="00B9499F" w:rsidRPr="00B9499F" w:rsidRDefault="00B9499F" w:rsidP="00B9499F">
      <w:p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B9499F">
        <w:rPr>
          <w:rFonts w:ascii="Times New Roman" w:eastAsia="Times New Roman" w:hAnsi="Times New Roman" w:cs="Times New Roman"/>
          <w:b/>
          <w:bCs/>
          <w:kern w:val="0"/>
          <w:lang w:eastAsia="en-GB"/>
          <w14:ligatures w14:val="none"/>
        </w:rPr>
        <w:t>Seigniorage Opportunity</w:t>
      </w:r>
    </w:p>
    <w:p w14:paraId="0A51ED51" w14:textId="77777777" w:rsidR="00B9499F" w:rsidRPr="00B9499F" w:rsidRDefault="00B9499F" w:rsidP="00B9499F">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499F">
        <w:rPr>
          <w:rFonts w:ascii="Times New Roman" w:eastAsia="Times New Roman" w:hAnsi="Times New Roman" w:cs="Times New Roman"/>
          <w:kern w:val="0"/>
          <w:lang w:eastAsia="en-GB"/>
          <w14:ligatures w14:val="none"/>
        </w:rPr>
        <w:t>Seigniorage is the difference between the face value of money and the cost to produce it. Over the past ten years surplus cash has fallen 75% leading a surplus of notes. In October 2022 new notes were introduced in the UK and old currency recalled. After 3 years £6.6 billion, about 10% of the total are still outstanding. The last time US updated its currency was for advanced security. More money was spent in Russia then the US explaining older notes are just as valuable as ever.</w:t>
      </w:r>
    </w:p>
    <w:p w14:paraId="0409E989" w14:textId="77777777" w:rsidR="00B9499F" w:rsidRPr="00B9499F" w:rsidRDefault="00B9499F" w:rsidP="00B9499F">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499F">
        <w:rPr>
          <w:rFonts w:ascii="Times New Roman" w:eastAsia="Times New Roman" w:hAnsi="Times New Roman" w:cs="Times New Roman"/>
          <w:kern w:val="0"/>
          <w:lang w:eastAsia="en-GB"/>
          <w14:ligatures w14:val="none"/>
        </w:rPr>
        <w:t>Physical currency shows significant unredeemed notes.  Stablecoins can be held somewhere in the 4.3 billion worldwide digital wallets and may never be redeemed. Bitcoin, for example, 15 -20% of the total supply is believed to be permanently lost due to forgotten private keys, destroyed devices, abandon wallets and the pc being instructed to send to waste.</w:t>
      </w:r>
    </w:p>
    <w:p w14:paraId="0B50ED96" w14:textId="77777777" w:rsidR="00B9499F" w:rsidRPr="00B9499F" w:rsidRDefault="00B9499F" w:rsidP="00B9499F">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499F">
        <w:rPr>
          <w:rFonts w:ascii="Times New Roman" w:eastAsia="Times New Roman" w:hAnsi="Times New Roman" w:cs="Times New Roman"/>
          <w:kern w:val="0"/>
          <w:lang w:eastAsia="en-GB"/>
          <w14:ligatures w14:val="none"/>
        </w:rPr>
        <w:t>Redemption patterns for Stablecoin should quickly reveal how these instruments behave. The Issuer tracks amounts issued and redeemed through custodian looking after the Backing Assets. When FCA/PSR, October 2024, mandating banks to reimburse scam victims quickly. After 6 months the results were clear, there was a 70% improvement with a further £150 million being returned to the victims by the banks.</w:t>
      </w:r>
    </w:p>
    <w:p w14:paraId="3AB74B8A" w14:textId="77777777" w:rsidR="00B9499F" w:rsidRPr="00B9499F" w:rsidRDefault="00B9499F" w:rsidP="00B9499F">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499F">
        <w:rPr>
          <w:rFonts w:ascii="Times New Roman" w:eastAsia="Times New Roman" w:hAnsi="Times New Roman" w:cs="Times New Roman"/>
          <w:kern w:val="0"/>
          <w:lang w:eastAsia="en-GB"/>
          <w14:ligatures w14:val="none"/>
        </w:rPr>
        <w:t>Backing Assets should allow "stablecoins in transit" reserves (similar to float accounting in traditional payments). Backing assets should be flexible, reflecting the changing risk profile of stablecoins as the custodians measure the flows under new regulations.</w:t>
      </w:r>
    </w:p>
    <w:p w14:paraId="24D9C1E1" w14:textId="77777777" w:rsidR="00B9499F" w:rsidRPr="00B9499F" w:rsidRDefault="00B9499F" w:rsidP="00B9499F">
      <w:p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B9499F">
        <w:rPr>
          <w:rFonts w:ascii="Times New Roman" w:eastAsia="Times New Roman" w:hAnsi="Times New Roman" w:cs="Times New Roman"/>
          <w:b/>
          <w:bCs/>
          <w:kern w:val="0"/>
          <w:lang w:eastAsia="en-GB"/>
          <w14:ligatures w14:val="none"/>
        </w:rPr>
        <w:t>Permissionless Technology and Interoperability Opportunities</w:t>
      </w:r>
    </w:p>
    <w:p w14:paraId="50EF98EC" w14:textId="77777777" w:rsidR="00B9499F" w:rsidRPr="00B9499F" w:rsidRDefault="00B9499F" w:rsidP="00B9499F">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499F">
        <w:rPr>
          <w:rFonts w:ascii="Times New Roman" w:eastAsia="Times New Roman" w:hAnsi="Times New Roman" w:cs="Times New Roman"/>
          <w:kern w:val="0"/>
          <w:lang w:eastAsia="en-GB"/>
          <w14:ligatures w14:val="none"/>
        </w:rPr>
        <w:t>DLT, in the form of Blockchain Technology, is over twenty years old and new improved variants are appearing. The concern for the Bank is the existing traditional financial market infrastructures rely on centralised systems. Payments and securities transactions are processed and settled using centralised data bases. Permissionless DLTs are increasingly becoming a part of the supply chain and must be accommodated</w:t>
      </w:r>
    </w:p>
    <w:p w14:paraId="12CA7AD1" w14:textId="77777777" w:rsidR="00B9499F" w:rsidRPr="00B9499F" w:rsidRDefault="00B9499F" w:rsidP="00B9499F">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499F">
        <w:rPr>
          <w:rFonts w:ascii="Times New Roman" w:eastAsia="Times New Roman" w:hAnsi="Times New Roman" w:cs="Times New Roman"/>
          <w:kern w:val="0"/>
          <w:lang w:eastAsia="en-GB"/>
          <w14:ligatures w14:val="none"/>
        </w:rPr>
        <w:t>The key for various evolving DLTs is working with existing infrastructures. An underlying second DLT chain can now enable the movement for Transaction A on one system can be reconfigured automatically on another system.  Smart Contracts can provide and check for compliance to the country rules governing possession and movement.</w:t>
      </w:r>
    </w:p>
    <w:p w14:paraId="7CD658AC" w14:textId="77777777" w:rsidR="00B9499F" w:rsidRPr="00B9499F" w:rsidRDefault="00B9499F" w:rsidP="00B9499F">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499F">
        <w:rPr>
          <w:rFonts w:ascii="Times New Roman" w:eastAsia="Times New Roman" w:hAnsi="Times New Roman" w:cs="Times New Roman"/>
          <w:kern w:val="0"/>
          <w:lang w:eastAsia="en-GB"/>
          <w14:ligatures w14:val="none"/>
        </w:rPr>
        <w:t>Concern around crypto is the high amount of electricity (Appendix) being used to mine and deliver coins. The cost for usage, called gas fees, vary by volume and can be unpredictable and expensive. A movement is underway to find a better solution. The EU, for example, awarded a grant to a UK Cambridge company using Lattice Technology.  Performs like DLT but with electrical consumption below Ethereum and Mastercard. (Appendix).</w:t>
      </w:r>
    </w:p>
    <w:p w14:paraId="4614B9E4" w14:textId="77777777" w:rsidR="00B9499F" w:rsidRPr="00B9499F" w:rsidRDefault="00B9499F" w:rsidP="00B9499F">
      <w:p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B9499F">
        <w:rPr>
          <w:rFonts w:ascii="Times New Roman" w:eastAsia="Times New Roman" w:hAnsi="Times New Roman" w:cs="Times New Roman"/>
          <w:kern w:val="0"/>
          <w:lang w:eastAsia="en-GB"/>
          <w14:ligatures w14:val="none"/>
        </w:rPr>
        <w:t xml:space="preserve"> </w:t>
      </w:r>
      <w:r w:rsidRPr="00B9499F">
        <w:rPr>
          <w:rFonts w:ascii="Times New Roman" w:eastAsia="Times New Roman" w:hAnsi="Times New Roman" w:cs="Times New Roman"/>
          <w:b/>
          <w:bCs/>
          <w:kern w:val="0"/>
          <w:lang w:eastAsia="en-GB"/>
          <w14:ligatures w14:val="none"/>
        </w:rPr>
        <w:t>Holding Limits – source of unease</w:t>
      </w:r>
    </w:p>
    <w:p w14:paraId="242C3FF7" w14:textId="77777777" w:rsidR="00B9499F" w:rsidRPr="00B9499F" w:rsidRDefault="00B9499F" w:rsidP="00B9499F">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9499F">
        <w:rPr>
          <w:rFonts w:ascii="Times New Roman" w:eastAsia="Times New Roman" w:hAnsi="Times New Roman" w:cs="Times New Roman"/>
          <w:kern w:val="0"/>
          <w:lang w:eastAsia="en-GB"/>
          <w14:ligatures w14:val="none"/>
        </w:rPr>
        <w:t>Bank proposes temporary holding limits of £20,000 per coin for individuals and £10 million for businesses, with exemptions for the largest businesses. These limits would be removed once financial stability risks are mitigated.</w:t>
      </w:r>
    </w:p>
    <w:p w14:paraId="509E9BEE" w14:textId="77777777" w:rsidR="00B9499F" w:rsidRPr="00B9499F" w:rsidRDefault="00B9499F" w:rsidP="00B9499F">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B9499F">
        <w:rPr>
          <w:rFonts w:ascii="Times New Roman" w:eastAsia="Times New Roman" w:hAnsi="Times New Roman" w:cs="Times New Roman"/>
          <w:kern w:val="0"/>
          <w:lang w:eastAsia="en-GB"/>
          <w14:ligatures w14:val="none"/>
        </w:rPr>
        <w:t>Complicates the Issuer business and makes it more expensive to be compliant. One of the nearest activities resembling this type of checking is anti-money laundering rules. Cost of AML compliance to lenders is £34bn annually (twice UK's policing budget)</w:t>
      </w:r>
    </w:p>
    <w:p w14:paraId="6FD0D1F3" w14:textId="77777777" w:rsidR="00B9499F" w:rsidRPr="00B9499F" w:rsidRDefault="00B9499F" w:rsidP="00B9499F">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499F">
        <w:rPr>
          <w:rFonts w:ascii="Times New Roman" w:eastAsia="Times New Roman" w:hAnsi="Times New Roman" w:cs="Times New Roman"/>
          <w:kern w:val="0"/>
          <w:lang w:eastAsia="en-GB"/>
          <w14:ligatures w14:val="none"/>
        </w:rPr>
        <w:t>No other major jurisdiction has implemented such caps. Post issuance tracking is impractical as peer-to-peer transfers, privacy-preserving wallets, cross-chain bridges are part of the ongoing movement of digital money movement. This is beyond the Issuers control.</w:t>
      </w:r>
    </w:p>
    <w:p w14:paraId="391344F9" w14:textId="4C7DE084" w:rsidR="00B9499F" w:rsidRPr="00B9499F" w:rsidRDefault="00B9499F" w:rsidP="00B9499F">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499F">
        <w:rPr>
          <w:rFonts w:ascii="Times New Roman" w:eastAsia="Times New Roman" w:hAnsi="Times New Roman" w:cs="Times New Roman"/>
          <w:kern w:val="0"/>
          <w:lang w:eastAsia="en-GB"/>
          <w14:ligatures w14:val="none"/>
        </w:rPr>
        <w:t>Clearly agitated someone as a white van with graphics of ‘Don’t cap Stablecoins’ with QR code to petition the Government has been cruising The City of London.</w:t>
      </w:r>
    </w:p>
    <w:p w14:paraId="3349DB4D" w14:textId="77777777" w:rsidR="00B9499F" w:rsidRPr="00B9499F" w:rsidRDefault="00B9499F" w:rsidP="00B9499F">
      <w:p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B9499F">
        <w:rPr>
          <w:rFonts w:ascii="Times New Roman" w:eastAsia="Times New Roman" w:hAnsi="Times New Roman" w:cs="Times New Roman"/>
          <w:b/>
          <w:bCs/>
          <w:kern w:val="0"/>
          <w:lang w:eastAsia="en-GB"/>
          <w14:ligatures w14:val="none"/>
        </w:rPr>
        <w:t>Global Currency</w:t>
      </w:r>
    </w:p>
    <w:p w14:paraId="336EE075" w14:textId="77777777" w:rsidR="00B9499F" w:rsidRPr="00B9499F" w:rsidRDefault="00B9499F" w:rsidP="00B9499F">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499F">
        <w:rPr>
          <w:rFonts w:ascii="Times New Roman" w:eastAsia="Times New Roman" w:hAnsi="Times New Roman" w:cs="Times New Roman"/>
          <w:kern w:val="0"/>
          <w:lang w:eastAsia="en-GB"/>
          <w14:ligatures w14:val="none"/>
        </w:rPr>
        <w:t>Sterling is the 4th most-held public currency in other countries. Sterling stablecoins could build on this to achieve significant international circulation. Aided by Digital wallets in which the coin holders can manage their own transfers. Stablecoins could well become the ‘money in the digital sofa’. Exchanges linking wallets via permissionless technology can create a ‘multi-money’ mix ecosystem.</w:t>
      </w:r>
    </w:p>
    <w:p w14:paraId="3FA5A6EB" w14:textId="77777777" w:rsidR="00B9499F" w:rsidRPr="00B9499F" w:rsidRDefault="00B9499F" w:rsidP="00B9499F">
      <w:p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B9499F">
        <w:rPr>
          <w:rFonts w:ascii="Times New Roman" w:eastAsia="Times New Roman" w:hAnsi="Times New Roman" w:cs="Times New Roman"/>
          <w:b/>
          <w:bCs/>
          <w:kern w:val="0"/>
          <w:lang w:eastAsia="en-GB"/>
          <w14:ligatures w14:val="none"/>
        </w:rPr>
        <w:t xml:space="preserve"> 2026 Framework</w:t>
      </w:r>
    </w:p>
    <w:p w14:paraId="51016AF9" w14:textId="77777777" w:rsidR="00B9499F" w:rsidRPr="00B9499F" w:rsidRDefault="00B9499F" w:rsidP="00B9499F">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499F">
        <w:rPr>
          <w:rFonts w:ascii="Times New Roman" w:eastAsia="Times New Roman" w:hAnsi="Times New Roman" w:cs="Times New Roman"/>
          <w:kern w:val="0"/>
          <w:lang w:eastAsia="en-GB"/>
          <w14:ligatures w14:val="none"/>
        </w:rPr>
        <w:t>The shift from 2023 recognises the need to balance safety with competitiveness. Allowing "stablecoins in transit" reserves would be a pragmatic middle ground. The use of permissionless DLT is growing internationally along with several in-country regulations being placed into law. The industry expects a degree of harmonisation in rules of engagement. This allows the ability to follow regulations that allow cross border payments with efficiencies within cost effective regulatory frameworks.</w:t>
      </w:r>
    </w:p>
    <w:p w14:paraId="3E71B7FC" w14:textId="77777777" w:rsidR="00B9499F" w:rsidRPr="00B9499F" w:rsidRDefault="00B9499F" w:rsidP="00B9499F">
      <w:p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B9499F">
        <w:rPr>
          <w:rFonts w:ascii="Times New Roman" w:eastAsia="Times New Roman" w:hAnsi="Times New Roman" w:cs="Times New Roman"/>
          <w:b/>
          <w:bCs/>
          <w:kern w:val="0"/>
          <w:lang w:eastAsia="en-GB"/>
          <w14:ligatures w14:val="none"/>
        </w:rPr>
        <w:t>Summary</w:t>
      </w:r>
    </w:p>
    <w:p w14:paraId="2BAC1D1C" w14:textId="77777777" w:rsidR="00B9499F" w:rsidRPr="00B9499F" w:rsidRDefault="00B9499F" w:rsidP="00B9499F">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499F">
        <w:rPr>
          <w:rFonts w:ascii="Times New Roman" w:eastAsia="Times New Roman" w:hAnsi="Times New Roman" w:cs="Times New Roman"/>
          <w:kern w:val="0"/>
          <w:lang w:eastAsia="en-GB"/>
          <w14:ligatures w14:val="none"/>
        </w:rPr>
        <w:t>Bank and FCA approaches appears more pragmatic than in 2023. Stablecoins, Tokens and permissionless technology with close real time data monitoring with regulation and custodians is the core of Digital Finance. The Bank’s consultation should be responded to positively and with improvement suggestions. This feedback, with international cooperation amongst regulators which traditionally has been strong, UK can play a vital part in this new and growing stablecoin, token and crypto movement.</w:t>
      </w:r>
    </w:p>
    <w:p w14:paraId="04E5777E" w14:textId="77777777" w:rsidR="00B9499F" w:rsidRPr="00B9499F" w:rsidRDefault="00B9499F" w:rsidP="00B9499F">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499F">
        <w:rPr>
          <w:rFonts w:ascii="Times New Roman" w:eastAsia="Times New Roman" w:hAnsi="Times New Roman" w:cs="Times New Roman"/>
          <w:kern w:val="0"/>
          <w:lang w:eastAsia="en-GB"/>
          <w14:ligatures w14:val="none"/>
        </w:rPr>
        <w:t>To this end, The Worshipful Company of IT (Part of the City of London) Financial Services Panel will be responding, with their expertise, to all the questions being asked.</w:t>
      </w:r>
    </w:p>
    <w:p w14:paraId="7225D8B7" w14:textId="0907D969" w:rsidR="00B9499F" w:rsidRPr="00B9499F" w:rsidRDefault="00B9499F" w:rsidP="00B9499F">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en-GB"/>
          <w14:ligatures w14:val="none"/>
        </w:rPr>
      </w:pPr>
      <w:r w:rsidRPr="00B9499F">
        <w:rPr>
          <w:rFonts w:ascii="Times New Roman" w:eastAsia="Times New Roman" w:hAnsi="Times New Roman" w:cs="Times New Roman"/>
          <w:b/>
          <w:bCs/>
          <w:kern w:val="0"/>
          <w:sz w:val="27"/>
          <w:szCs w:val="27"/>
          <w:lang w:eastAsia="en-GB"/>
          <w14:ligatures w14:val="none"/>
        </w:rPr>
        <w:t>Lord Kitchener:</w:t>
      </w:r>
    </w:p>
    <w:p w14:paraId="30F7CA4F" w14:textId="77777777" w:rsidR="00B9499F" w:rsidRPr="00B9499F" w:rsidRDefault="00B9499F" w:rsidP="00B9499F">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en-GB"/>
          <w14:ligatures w14:val="none"/>
        </w:rPr>
      </w:pPr>
      <w:r w:rsidRPr="00B9499F">
        <w:rPr>
          <w:rFonts w:ascii="Times New Roman" w:eastAsia="Times New Roman" w:hAnsi="Times New Roman" w:cs="Times New Roman"/>
          <w:b/>
          <w:bCs/>
          <w:kern w:val="0"/>
          <w:sz w:val="27"/>
          <w:szCs w:val="27"/>
          <w:lang w:eastAsia="en-GB"/>
          <w14:ligatures w14:val="none"/>
        </w:rPr>
        <w:t>Your Country Needs You to win global Digital Finance Leadership</w:t>
      </w:r>
    </w:p>
    <w:p w14:paraId="2D190CD8" w14:textId="77777777" w:rsidR="00B9499F" w:rsidRPr="00B9499F" w:rsidRDefault="00B9499F" w:rsidP="00B9499F">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499F">
        <w:rPr>
          <w:rFonts w:ascii="Times New Roman" w:eastAsia="Times New Roman" w:hAnsi="Times New Roman" w:cs="Times New Roman"/>
          <w:kern w:val="0"/>
          <w:lang w:eastAsia="en-GB"/>
          <w14:ligatures w14:val="none"/>
        </w:rPr>
        <w:t xml:space="preserve"> </w:t>
      </w:r>
    </w:p>
    <w:p w14:paraId="350E93A2" w14:textId="77777777" w:rsidR="00B9499F" w:rsidRPr="00B9499F" w:rsidRDefault="00B9499F" w:rsidP="00B9499F">
      <w:pPr>
        <w:spacing w:before="100" w:beforeAutospacing="1" w:after="100" w:afterAutospacing="1" w:line="240" w:lineRule="auto"/>
        <w:rPr>
          <w:rFonts w:ascii="Times New Roman" w:eastAsia="Times New Roman" w:hAnsi="Times New Roman" w:cs="Times New Roman"/>
          <w:kern w:val="0"/>
          <w:lang w:eastAsia="en-GB"/>
          <w14:ligatures w14:val="none"/>
        </w:rPr>
      </w:pPr>
      <w:r w:rsidRPr="00B9499F">
        <w:rPr>
          <w:rFonts w:ascii="Times New Roman" w:eastAsia="Times New Roman" w:hAnsi="Times New Roman" w:cs="Times New Roman"/>
          <w:kern w:val="0"/>
          <w:lang w:eastAsia="en-GB"/>
          <w14:ligatures w14:val="none"/>
        </w:rPr>
        <w:t>Appendix</w:t>
      </w:r>
    </w:p>
    <w:p w14:paraId="0B428D8A" w14:textId="79FF92E6" w:rsidR="00B9499F" w:rsidRPr="00B9499F" w:rsidRDefault="00B9499F" w:rsidP="00B9499F">
      <w:pPr>
        <w:spacing w:after="0" w:line="240" w:lineRule="auto"/>
        <w:rPr>
          <w:rFonts w:ascii="Times New Roman" w:eastAsia="Times New Roman" w:hAnsi="Times New Roman" w:cs="Times New Roman"/>
          <w:kern w:val="0"/>
          <w:lang w:eastAsia="en-GB"/>
          <w14:ligatures w14:val="none"/>
        </w:rPr>
      </w:pPr>
      <w:r w:rsidRPr="00B9499F">
        <w:rPr>
          <w:rFonts w:ascii="Times New Roman" w:eastAsia="Times New Roman" w:hAnsi="Times New Roman" w:cs="Times New Roman"/>
          <w:kern w:val="0"/>
          <w:lang w:eastAsia="en-GB"/>
          <w14:ligatures w14:val="none"/>
        </w:rPr>
        <w:fldChar w:fldCharType="begin"/>
      </w:r>
      <w:r w:rsidRPr="00B9499F">
        <w:rPr>
          <w:rFonts w:ascii="Times New Roman" w:eastAsia="Times New Roman" w:hAnsi="Times New Roman" w:cs="Times New Roman"/>
          <w:kern w:val="0"/>
          <w:lang w:eastAsia="en-GB"/>
          <w14:ligatures w14:val="none"/>
        </w:rPr>
        <w:instrText xml:space="preserve"> INCLUDEPICTURE "/Users/johnbertrand/Library/Group Containers/UBF8T346G9.ms/WebArchiveCopyPasteTempFiles/com.microsoft.Word/1764682244363?e=1766620800&amp;v=beta&amp;t=rHO5SwA7kf5w61MCA54tKyCdIFpZxud87Brc6AuMRBM" \* MERGEFORMATINET </w:instrText>
      </w:r>
      <w:r w:rsidRPr="00B9499F">
        <w:rPr>
          <w:rFonts w:ascii="Times New Roman" w:eastAsia="Times New Roman" w:hAnsi="Times New Roman" w:cs="Times New Roman"/>
          <w:kern w:val="0"/>
          <w:lang w:eastAsia="en-GB"/>
          <w14:ligatures w14:val="none"/>
        </w:rPr>
        <w:fldChar w:fldCharType="separate"/>
      </w:r>
      <w:r w:rsidRPr="00B9499F">
        <w:rPr>
          <w:rFonts w:ascii="Times New Roman" w:eastAsia="Times New Roman" w:hAnsi="Times New Roman" w:cs="Times New Roman"/>
          <w:noProof/>
          <w:kern w:val="0"/>
          <w:lang w:eastAsia="en-GB"/>
          <w14:ligatures w14:val="none"/>
        </w:rPr>
        <w:drawing>
          <wp:inline distT="0" distB="0" distL="0" distR="0" wp14:anchorId="646DDE0C" wp14:editId="5884CED4">
            <wp:extent cx="5731510" cy="2156460"/>
            <wp:effectExtent l="0" t="0" r="0" b="2540"/>
            <wp:docPr id="184229275" name="Picture 1" descr="Article cont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379" descr="Article conte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2156460"/>
                    </a:xfrm>
                    <a:prstGeom prst="rect">
                      <a:avLst/>
                    </a:prstGeom>
                    <a:noFill/>
                    <a:ln>
                      <a:noFill/>
                    </a:ln>
                  </pic:spPr>
                </pic:pic>
              </a:graphicData>
            </a:graphic>
          </wp:inline>
        </w:drawing>
      </w:r>
      <w:r w:rsidRPr="00B9499F">
        <w:rPr>
          <w:rFonts w:ascii="Times New Roman" w:eastAsia="Times New Roman" w:hAnsi="Times New Roman" w:cs="Times New Roman"/>
          <w:kern w:val="0"/>
          <w:lang w:eastAsia="en-GB"/>
          <w14:ligatures w14:val="none"/>
        </w:rPr>
        <w:fldChar w:fldCharType="end"/>
      </w:r>
    </w:p>
    <w:p w14:paraId="133C98E3" w14:textId="77777777" w:rsidR="00B9499F" w:rsidRPr="00B9499F" w:rsidRDefault="00B9499F" w:rsidP="00B9499F">
      <w:pPr>
        <w:spacing w:after="0" w:line="240" w:lineRule="auto"/>
        <w:rPr>
          <w:rFonts w:ascii="Times New Roman" w:eastAsia="Times New Roman" w:hAnsi="Times New Roman" w:cs="Times New Roman"/>
          <w:kern w:val="0"/>
          <w:lang w:eastAsia="en-GB"/>
          <w14:ligatures w14:val="none"/>
        </w:rPr>
      </w:pPr>
    </w:p>
    <w:p w14:paraId="5DB8C2A9" w14:textId="77777777" w:rsidR="001C0791" w:rsidRPr="00B9499F" w:rsidRDefault="001C0791">
      <w:pPr>
        <w:rPr>
          <w:rFonts w:ascii="Times New Roman" w:hAnsi="Times New Roman" w:cs="Times New Roman"/>
        </w:rPr>
      </w:pPr>
    </w:p>
    <w:sectPr w:rsidR="001C0791" w:rsidRPr="00B949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734BF8"/>
    <w:multiLevelType w:val="multilevel"/>
    <w:tmpl w:val="5FFCB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640976"/>
    <w:multiLevelType w:val="multilevel"/>
    <w:tmpl w:val="37622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2772401">
    <w:abstractNumId w:val="1"/>
  </w:num>
  <w:num w:numId="2" w16cid:durableId="886068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791"/>
    <w:rsid w:val="001C0791"/>
    <w:rsid w:val="002F7DC3"/>
    <w:rsid w:val="00423E84"/>
    <w:rsid w:val="00B9499F"/>
    <w:rsid w:val="00C638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769B9C9"/>
  <w15:chartTrackingRefBased/>
  <w15:docId w15:val="{D92F818F-5F39-2F4B-AD4A-B8E6AE09B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07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C07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C07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07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07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07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07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07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07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7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C07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C07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07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07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07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07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07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0791"/>
    <w:rPr>
      <w:rFonts w:eastAsiaTheme="majorEastAsia" w:cstheme="majorBidi"/>
      <w:color w:val="272727" w:themeColor="text1" w:themeTint="D8"/>
    </w:rPr>
  </w:style>
  <w:style w:type="paragraph" w:styleId="Title">
    <w:name w:val="Title"/>
    <w:basedOn w:val="Normal"/>
    <w:next w:val="Normal"/>
    <w:link w:val="TitleChar"/>
    <w:uiPriority w:val="10"/>
    <w:qFormat/>
    <w:rsid w:val="001C07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7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07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7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0791"/>
    <w:pPr>
      <w:spacing w:before="160"/>
      <w:jc w:val="center"/>
    </w:pPr>
    <w:rPr>
      <w:i/>
      <w:iCs/>
      <w:color w:val="404040" w:themeColor="text1" w:themeTint="BF"/>
    </w:rPr>
  </w:style>
  <w:style w:type="character" w:customStyle="1" w:styleId="QuoteChar">
    <w:name w:val="Quote Char"/>
    <w:basedOn w:val="DefaultParagraphFont"/>
    <w:link w:val="Quote"/>
    <w:uiPriority w:val="29"/>
    <w:rsid w:val="001C0791"/>
    <w:rPr>
      <w:i/>
      <w:iCs/>
      <w:color w:val="404040" w:themeColor="text1" w:themeTint="BF"/>
    </w:rPr>
  </w:style>
  <w:style w:type="paragraph" w:styleId="ListParagraph">
    <w:name w:val="List Paragraph"/>
    <w:basedOn w:val="Normal"/>
    <w:uiPriority w:val="34"/>
    <w:qFormat/>
    <w:rsid w:val="001C0791"/>
    <w:pPr>
      <w:ind w:left="720"/>
      <w:contextualSpacing/>
    </w:pPr>
  </w:style>
  <w:style w:type="character" w:styleId="IntenseEmphasis">
    <w:name w:val="Intense Emphasis"/>
    <w:basedOn w:val="DefaultParagraphFont"/>
    <w:uiPriority w:val="21"/>
    <w:qFormat/>
    <w:rsid w:val="001C0791"/>
    <w:rPr>
      <w:i/>
      <w:iCs/>
      <w:color w:val="0F4761" w:themeColor="accent1" w:themeShade="BF"/>
    </w:rPr>
  </w:style>
  <w:style w:type="paragraph" w:styleId="IntenseQuote">
    <w:name w:val="Intense Quote"/>
    <w:basedOn w:val="Normal"/>
    <w:next w:val="Normal"/>
    <w:link w:val="IntenseQuoteChar"/>
    <w:uiPriority w:val="30"/>
    <w:qFormat/>
    <w:rsid w:val="001C07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0791"/>
    <w:rPr>
      <w:i/>
      <w:iCs/>
      <w:color w:val="0F4761" w:themeColor="accent1" w:themeShade="BF"/>
    </w:rPr>
  </w:style>
  <w:style w:type="character" w:styleId="IntenseReference">
    <w:name w:val="Intense Reference"/>
    <w:basedOn w:val="DefaultParagraphFont"/>
    <w:uiPriority w:val="32"/>
    <w:qFormat/>
    <w:rsid w:val="001C0791"/>
    <w:rPr>
      <w:b/>
      <w:bCs/>
      <w:smallCaps/>
      <w:color w:val="0F4761" w:themeColor="accent1" w:themeShade="BF"/>
      <w:spacing w:val="5"/>
    </w:rPr>
  </w:style>
  <w:style w:type="character" w:styleId="Hyperlink">
    <w:name w:val="Hyperlink"/>
    <w:basedOn w:val="DefaultParagraphFont"/>
    <w:uiPriority w:val="99"/>
    <w:unhideWhenUsed/>
    <w:rsid w:val="00B9499F"/>
    <w:rPr>
      <w:color w:val="0000FF"/>
      <w:u w:val="single"/>
    </w:rPr>
  </w:style>
  <w:style w:type="character" w:customStyle="1" w:styleId="apple-converted-space">
    <w:name w:val="apple-converted-space"/>
    <w:basedOn w:val="DefaultParagraphFont"/>
    <w:rsid w:val="00B9499F"/>
  </w:style>
  <w:style w:type="paragraph" w:customStyle="1" w:styleId="ember-view">
    <w:name w:val="ember-view"/>
    <w:basedOn w:val="Normal"/>
    <w:rsid w:val="00B9499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B9499F"/>
    <w:rPr>
      <w:b/>
      <w:bCs/>
    </w:rPr>
  </w:style>
  <w:style w:type="character" w:customStyle="1" w:styleId="white-space-pre">
    <w:name w:val="white-space-pre"/>
    <w:basedOn w:val="DefaultParagraphFont"/>
    <w:rsid w:val="00B9499F"/>
  </w:style>
  <w:style w:type="character" w:styleId="UnresolvedMention">
    <w:name w:val="Unresolved Mention"/>
    <w:basedOn w:val="DefaultParagraphFont"/>
    <w:uiPriority w:val="99"/>
    <w:semiHidden/>
    <w:unhideWhenUsed/>
    <w:rsid w:val="00423E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950</Words>
  <Characters>5284</Characters>
  <Application>Microsoft Office Word</Application>
  <DocSecurity>0</DocSecurity>
  <Lines>103</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Bertrand</dc:creator>
  <cp:keywords/>
  <dc:description/>
  <cp:lastModifiedBy>john Bertrand</cp:lastModifiedBy>
  <cp:revision>2</cp:revision>
  <dcterms:created xsi:type="dcterms:W3CDTF">2025-12-03T13:33:00Z</dcterms:created>
  <dcterms:modified xsi:type="dcterms:W3CDTF">2025-12-03T13:44:00Z</dcterms:modified>
</cp:coreProperties>
</file>